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CC" w:rsidRPr="00E34384" w:rsidRDefault="00AA5FCC" w:rsidP="00AA5FCC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bookmarkStart w:id="0" w:name="_GoBack"/>
      <w:bookmarkEnd w:id="0"/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AA5FCC" w:rsidRDefault="00AA5FCC" w:rsidP="00AA5FCC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>w odpowiedzi na Zapytanie ofertowe nr 8.2019 z dnia 04.06.2019 r.</w:t>
      </w:r>
    </w:p>
    <w:p w:rsidR="00AA5FCC" w:rsidRDefault="00AA5FCC" w:rsidP="00AA5FCC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AA5FCC" w:rsidRPr="00E34384" w:rsidRDefault="00AA5FCC" w:rsidP="00AA5FCC">
      <w:pPr>
        <w:spacing w:after="0" w:line="276" w:lineRule="auto"/>
        <w:jc w:val="both"/>
        <w:rPr>
          <w:rFonts w:ascii="Trebuchet MS" w:hAnsi="Trebuchet MS" w:cs="Estrangelo Edessa"/>
          <w:sz w:val="24"/>
          <w:szCs w:val="24"/>
        </w:rPr>
      </w:pPr>
      <w:r w:rsidRPr="00E34384">
        <w:rPr>
          <w:rFonts w:ascii="Trebuchet MS" w:hAnsi="Trebuchet MS" w:cs="Estrangelo Edessa"/>
          <w:sz w:val="24"/>
          <w:szCs w:val="24"/>
        </w:rPr>
        <w:t xml:space="preserve">„Kompleksowa organizacja 7-dniowych wyjazdowych warsztatów kompetencji społecznych, na terenie województwa łódzkiego dla 20 uczestników projektu „Przyjazny świat”, w podziale na 2 grupy, obejmująca transport, ubezpieczenie, przeprowadzenie warsztatów, zakwaterowanie i wyżywienie oraz dodatkowe atrakcje”. </w:t>
      </w:r>
    </w:p>
    <w:p w:rsidR="00AA5FCC" w:rsidRPr="00F83476" w:rsidRDefault="00AA5FCC" w:rsidP="00AA5FCC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val="x-none" w:eastAsia="ar-SA"/>
        </w:rPr>
      </w:pPr>
    </w:p>
    <w:p w:rsidR="00AA5FCC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AA5FCC" w:rsidRPr="00F83476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6"/>
      </w:tblGrid>
      <w:tr w:rsidR="00AA5FCC" w:rsidRPr="00F83476" w:rsidTr="00646F31">
        <w:trPr>
          <w:trHeight w:val="425"/>
        </w:trPr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Maciej </w:t>
            </w:r>
            <w:proofErr w:type="spell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Sobieraj</w:t>
            </w:r>
            <w:proofErr w:type="spell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, kontakt za pośrednictwem poczty elektronicznej adres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e-mail: iodo@spotcase.pl z dopiskiem „PCPR Brzeziny” lub pisemnie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adres administratora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AA5FCC" w:rsidRPr="00D53768" w:rsidRDefault="00D53768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przeprowadzenie postępowania o udzielenie zamówienia w trybie zapytania ofertowego nr 8.2019 z dnia 04.06.2019r., prowadzonym zgodnie z zasadą konkurencyjności, o której mowa w wytycznych Ministra Rozwoju w zakresie kwalifikowania wydatków w ramach Europejskiego Funduszu Rozwoju Regionalnego, Europejskiego Funduszu Społecznego oraz Funduszu Spójności na lata 2014-2020,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oferty jako najkorzystniejszej również w celu zawarcia i </w:t>
            </w:r>
            <w:r w:rsidR="00AA5FCC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wykonania umowy oraz prowadzenia dokumentacji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</w:t>
            </w:r>
            <w:r w:rsidR="00AA5FCC" w:rsidRPr="00D53768">
              <w:rPr>
                <w:rFonts w:ascii="Trebuchet MS" w:eastAsia="Times New Roman" w:hAnsi="Trebuchet MS" w:cs="Times New Roman"/>
                <w:lang w:eastAsia="ar-SA"/>
              </w:rPr>
              <w:t>z nią związanej tj. na podstawie art. 6 ust. 1 lit b, c RODO,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organy władzy publicznej oraz podmioty wykonujące zadania publiczne lub działające na zlecenie organów władzy publicznej, w zakresie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lastRenderedPageBreak/>
              <w:t xml:space="preserve">przetwarzania danych osobowych (tzw. podmioty przetwarzające),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„Przyjazny świat”, </w:t>
            </w:r>
            <w:r w:rsidRPr="00AA5FCC">
              <w:rPr>
                <w:rFonts w:ascii="Trebuchet MS" w:eastAsia="Times New Roman" w:hAnsi="Trebuchet MS" w:cs="Times New Roman"/>
                <w:lang w:eastAsia="ar-SA"/>
              </w:rPr>
              <w:t xml:space="preserve">współfinansowanego przez Unię Europejską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AA5FCC">
              <w:rPr>
                <w:rFonts w:ascii="Trebuchet MS" w:eastAsia="Times New Roman" w:hAnsi="Trebuchet MS" w:cs="Times New Roman"/>
                <w:lang w:eastAsia="ar-SA"/>
              </w:rPr>
              <w:t>ze środków Europejskiego Funduszu Społecznego w ramach Regionalnego Programu Operacyjnego Województwa Łódzkiego na lata 2014-2020, Oś priorytetowa IX Włączenie społeczne, Działanie IX.1 Aktywna integracja osób zagrożonych ubóstwem lub wykluczeniem społecznym, Poddziałanie IX.1.1 Aktywizacja społeczno-zawodowa osób zagrożonych ubóstwem lub wykluczeniem społecznym,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:rsidR="00D53768" w:rsidRDefault="00AA5FCC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nr 8.2019 z dnia 04.06.2019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r., </w:t>
            </w:r>
            <w:r w:rsidR="00D53768"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>uczestnictwa                                  w postępowaniu</w:t>
            </w:r>
            <w:r w:rsidR="00D53768"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AA5FCC" w:rsidRPr="00F83476" w:rsidRDefault="00D53768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lastRenderedPageBreak/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AA5FCC" w:rsidRPr="00F83476">
              <w:rPr>
                <w:rFonts w:ascii="Trebuchet MS" w:eastAsia="Times New Roman" w:hAnsi="Trebuchet MS" w:cs="Times New Roman"/>
                <w:lang w:eastAsia="ar-SA"/>
              </w:rPr>
              <w:t>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AA5FCC" w:rsidRPr="00F83476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D53768" w:rsidRPr="00D53768" w:rsidRDefault="00D53768" w:rsidP="00FC4EC9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D53768" w:rsidRPr="00D53768" w:rsidRDefault="00D53768" w:rsidP="00FC4EC9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informacyjną i wyrażam zgodę</w:t>
      </w:r>
    </w:p>
    <w:p w:rsidR="00AA5FCC" w:rsidRPr="00D53768" w:rsidRDefault="00AA5FCC" w:rsidP="00FC4EC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AA5FCC" w:rsidRPr="00F83476" w:rsidRDefault="00AA5FCC" w:rsidP="00FC4EC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AA5FCC" w:rsidRPr="00D53768" w:rsidRDefault="00D53768" w:rsidP="00FC4EC9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="00AA5FCC"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D53768" w:rsidRDefault="00D53768" w:rsidP="00FC4EC9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8D2E30" w:rsidRDefault="008D2E30" w:rsidP="00FC4EC9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sectPr w:rsidR="008D2E30" w:rsidSect="00A95BA6">
      <w:headerReference w:type="default" r:id="rId8"/>
      <w:footerReference w:type="default" r:id="rId9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25" w:rsidRDefault="00995D25" w:rsidP="000D5246">
      <w:pPr>
        <w:spacing w:after="0" w:line="240" w:lineRule="auto"/>
      </w:pPr>
      <w:r>
        <w:separator/>
      </w:r>
    </w:p>
  </w:endnote>
  <w:endnote w:type="continuationSeparator" w:id="0">
    <w:p w:rsidR="00995D25" w:rsidRDefault="00995D25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25" w:rsidRDefault="00995D25" w:rsidP="000D5246">
      <w:pPr>
        <w:spacing w:after="0" w:line="240" w:lineRule="auto"/>
      </w:pPr>
      <w:r>
        <w:separator/>
      </w:r>
    </w:p>
  </w:footnote>
  <w:footnote w:type="continuationSeparator" w:id="0">
    <w:p w:rsidR="00995D25" w:rsidRDefault="00995D25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63595"/>
    <w:multiLevelType w:val="hybridMultilevel"/>
    <w:tmpl w:val="0C8CD650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18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D7070B"/>
    <w:multiLevelType w:val="hybridMultilevel"/>
    <w:tmpl w:val="A0683FF0"/>
    <w:lvl w:ilvl="0" w:tplc="82EAC5B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25"/>
  </w:num>
  <w:num w:numId="5">
    <w:abstractNumId w:val="13"/>
  </w:num>
  <w:num w:numId="6">
    <w:abstractNumId w:val="21"/>
  </w:num>
  <w:num w:numId="7">
    <w:abstractNumId w:val="17"/>
  </w:num>
  <w:num w:numId="8">
    <w:abstractNumId w:val="0"/>
  </w:num>
  <w:num w:numId="9">
    <w:abstractNumId w:val="22"/>
  </w:num>
  <w:num w:numId="10">
    <w:abstractNumId w:val="20"/>
  </w:num>
  <w:num w:numId="11">
    <w:abstractNumId w:val="12"/>
  </w:num>
  <w:num w:numId="12">
    <w:abstractNumId w:val="29"/>
  </w:num>
  <w:num w:numId="13">
    <w:abstractNumId w:val="23"/>
  </w:num>
  <w:num w:numId="14">
    <w:abstractNumId w:val="19"/>
  </w:num>
  <w:num w:numId="15">
    <w:abstractNumId w:val="6"/>
  </w:num>
  <w:num w:numId="16">
    <w:abstractNumId w:val="18"/>
  </w:num>
  <w:num w:numId="17">
    <w:abstractNumId w:val="15"/>
  </w:num>
  <w:num w:numId="18">
    <w:abstractNumId w:val="16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3"/>
  </w:num>
  <w:num w:numId="24">
    <w:abstractNumId w:val="14"/>
  </w:num>
  <w:num w:numId="25">
    <w:abstractNumId w:val="7"/>
  </w:num>
  <w:num w:numId="26">
    <w:abstractNumId w:val="26"/>
  </w:num>
  <w:num w:numId="27">
    <w:abstractNumId w:val="2"/>
  </w:num>
  <w:num w:numId="28">
    <w:abstractNumId w:val="9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431D7"/>
    <w:rsid w:val="000513A9"/>
    <w:rsid w:val="000A22B5"/>
    <w:rsid w:val="000C13F1"/>
    <w:rsid w:val="000C6F68"/>
    <w:rsid w:val="000D5246"/>
    <w:rsid w:val="00101266"/>
    <w:rsid w:val="00107431"/>
    <w:rsid w:val="001333DD"/>
    <w:rsid w:val="00142831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C1997"/>
    <w:rsid w:val="002C3630"/>
    <w:rsid w:val="00360B0E"/>
    <w:rsid w:val="003624C8"/>
    <w:rsid w:val="00370285"/>
    <w:rsid w:val="00377D2F"/>
    <w:rsid w:val="00386DB3"/>
    <w:rsid w:val="003A10F2"/>
    <w:rsid w:val="003B2C7C"/>
    <w:rsid w:val="003C1C6C"/>
    <w:rsid w:val="003F5214"/>
    <w:rsid w:val="00442E22"/>
    <w:rsid w:val="00450FA4"/>
    <w:rsid w:val="00486852"/>
    <w:rsid w:val="00495E27"/>
    <w:rsid w:val="004C02DF"/>
    <w:rsid w:val="004C63CD"/>
    <w:rsid w:val="00503421"/>
    <w:rsid w:val="00525335"/>
    <w:rsid w:val="00584686"/>
    <w:rsid w:val="00586A9F"/>
    <w:rsid w:val="005919B9"/>
    <w:rsid w:val="0059616A"/>
    <w:rsid w:val="005973E7"/>
    <w:rsid w:val="005A1C4D"/>
    <w:rsid w:val="005B6D7D"/>
    <w:rsid w:val="005C2826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44DF1"/>
    <w:rsid w:val="007574E5"/>
    <w:rsid w:val="007B079F"/>
    <w:rsid w:val="007B570F"/>
    <w:rsid w:val="007D60AD"/>
    <w:rsid w:val="007D62CD"/>
    <w:rsid w:val="00830421"/>
    <w:rsid w:val="00867CF7"/>
    <w:rsid w:val="00880A78"/>
    <w:rsid w:val="008B3BC3"/>
    <w:rsid w:val="008D2E30"/>
    <w:rsid w:val="008E2227"/>
    <w:rsid w:val="008F26CC"/>
    <w:rsid w:val="008F5DC9"/>
    <w:rsid w:val="00917C25"/>
    <w:rsid w:val="009361A9"/>
    <w:rsid w:val="00995903"/>
    <w:rsid w:val="00995D25"/>
    <w:rsid w:val="009B274C"/>
    <w:rsid w:val="00A25477"/>
    <w:rsid w:val="00A34978"/>
    <w:rsid w:val="00A95BA6"/>
    <w:rsid w:val="00AA5FCC"/>
    <w:rsid w:val="00AA6142"/>
    <w:rsid w:val="00AB47FA"/>
    <w:rsid w:val="00AC568C"/>
    <w:rsid w:val="00B14792"/>
    <w:rsid w:val="00B1507F"/>
    <w:rsid w:val="00B30DB1"/>
    <w:rsid w:val="00B35240"/>
    <w:rsid w:val="00B372BD"/>
    <w:rsid w:val="00B4209E"/>
    <w:rsid w:val="00BB3381"/>
    <w:rsid w:val="00BC6FFB"/>
    <w:rsid w:val="00BE6E4D"/>
    <w:rsid w:val="00C817A7"/>
    <w:rsid w:val="00C97CD5"/>
    <w:rsid w:val="00CB6D08"/>
    <w:rsid w:val="00CD3702"/>
    <w:rsid w:val="00D225EE"/>
    <w:rsid w:val="00D53768"/>
    <w:rsid w:val="00D616D2"/>
    <w:rsid w:val="00D71376"/>
    <w:rsid w:val="00D754F7"/>
    <w:rsid w:val="00D83E04"/>
    <w:rsid w:val="00D855DC"/>
    <w:rsid w:val="00DA1714"/>
    <w:rsid w:val="00DE3474"/>
    <w:rsid w:val="00E00EED"/>
    <w:rsid w:val="00E30E8D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2AE8"/>
    <w:rsid w:val="00F26E35"/>
    <w:rsid w:val="00F33F03"/>
    <w:rsid w:val="00F601D1"/>
    <w:rsid w:val="00F75114"/>
    <w:rsid w:val="00FA5A95"/>
    <w:rsid w:val="00FB37D7"/>
    <w:rsid w:val="00FC4EC9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2019-06-05T06:57:00Z</cp:lastPrinted>
  <dcterms:created xsi:type="dcterms:W3CDTF">2019-06-05T06:58:00Z</dcterms:created>
  <dcterms:modified xsi:type="dcterms:W3CDTF">2019-06-05T07:00:00Z</dcterms:modified>
</cp:coreProperties>
</file>